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9D3" w:rsidRDefault="00AC237A">
      <w:pPr>
        <w:pStyle w:val="TitleStyle"/>
      </w:pPr>
      <w:bookmarkStart w:id="0" w:name="_GoBack"/>
      <w:bookmarkEnd w:id="0"/>
      <w:r>
        <w:t>Prawo o ustroju sądów powszechnych.</w:t>
      </w:r>
    </w:p>
    <w:p w:rsidR="008779D3" w:rsidRDefault="00AC237A">
      <w:pPr>
        <w:pStyle w:val="NormalStyle"/>
      </w:pPr>
      <w:r>
        <w:t xml:space="preserve">Dz.U.2019.52 </w:t>
      </w:r>
      <w:proofErr w:type="spellStart"/>
      <w:r>
        <w:t>t.j</w:t>
      </w:r>
      <w:proofErr w:type="spellEnd"/>
      <w:r>
        <w:t>. z dnia 2019.01.11</w:t>
      </w:r>
    </w:p>
    <w:p w:rsidR="008779D3" w:rsidRDefault="00AC237A">
      <w:pPr>
        <w:pStyle w:val="NormalStyle"/>
      </w:pPr>
      <w:r>
        <w:t>Status: Akt obowiązujący</w:t>
      </w:r>
    </w:p>
    <w:p w:rsidR="008779D3" w:rsidRDefault="00AC237A">
      <w:pPr>
        <w:pStyle w:val="NormalStyle"/>
      </w:pPr>
      <w:r>
        <w:t>Wersja od: 4 marca 2019r.  do: 31 grudnia 2019r.</w:t>
      </w:r>
    </w:p>
    <w:p w:rsidR="008779D3" w:rsidRDefault="00AC237A">
      <w:pPr>
        <w:spacing w:after="0"/>
      </w:pPr>
      <w:r>
        <w:br/>
      </w:r>
    </w:p>
    <w:p w:rsidR="008779D3" w:rsidRDefault="008779D3">
      <w:pPr>
        <w:numPr>
          <w:ilvl w:val="0"/>
          <w:numId w:val="1"/>
        </w:numPr>
        <w:spacing w:after="0"/>
      </w:pPr>
    </w:p>
    <w:p w:rsidR="008779D3" w:rsidRDefault="00AC237A">
      <w:pPr>
        <w:spacing w:after="0"/>
      </w:pPr>
      <w:r>
        <w:rPr>
          <w:b/>
          <w:color w:val="000000"/>
        </w:rPr>
        <w:t>Wejście w życie:</w:t>
      </w:r>
    </w:p>
    <w:p w:rsidR="008779D3" w:rsidRDefault="00AC237A">
      <w:pPr>
        <w:spacing w:after="0"/>
      </w:pPr>
      <w:r>
        <w:rPr>
          <w:color w:val="000000"/>
        </w:rPr>
        <w:t>1 października 2001 r.,1 stycznia 2002 r.,1 stycznia 2003 r.</w:t>
      </w:r>
    </w:p>
    <w:p w:rsidR="008779D3" w:rsidRDefault="00AC237A">
      <w:pPr>
        <w:spacing w:after="0"/>
      </w:pPr>
      <w:r>
        <w:rPr>
          <w:b/>
          <w:color w:val="000000"/>
        </w:rPr>
        <w:t>zobacz:</w:t>
      </w:r>
    </w:p>
    <w:p w:rsidR="008779D3" w:rsidRDefault="00AC237A">
      <w:pPr>
        <w:numPr>
          <w:ilvl w:val="1"/>
          <w:numId w:val="1"/>
        </w:numPr>
        <w:spacing w:after="0"/>
      </w:pPr>
      <w:r>
        <w:rPr>
          <w:color w:val="000000"/>
        </w:rPr>
        <w:t>art. 212</w:t>
      </w:r>
    </w:p>
    <w:p w:rsidR="008779D3" w:rsidRDefault="00AC237A">
      <w:pPr>
        <w:spacing w:after="0"/>
      </w:pPr>
      <w:r>
        <w:rPr>
          <w:color w:val="000000"/>
        </w:rPr>
        <w:t>Art. 212.  [Wejście w życie ustawy]</w:t>
      </w:r>
    </w:p>
    <w:p w:rsidR="008779D3" w:rsidRDefault="00AC237A">
      <w:pPr>
        <w:spacing w:before="25" w:after="0"/>
      </w:pPr>
      <w:r>
        <w:rPr>
          <w:color w:val="000000"/>
        </w:rPr>
        <w:t>Ustawa wchodzi w życie z dniem 1 października 2001 r., z wyjątkiem:</w:t>
      </w:r>
    </w:p>
    <w:p w:rsidR="008779D3" w:rsidRDefault="00AC237A">
      <w:pPr>
        <w:spacing w:after="0"/>
      </w:pPr>
      <w:r>
        <w:rPr>
          <w:color w:val="000000"/>
        </w:rPr>
        <w:t>art. 91 § 2a, art. 151 § 1, art. 178, art. 193 i art. 195 pkt 2, które wchodzą w życie z dniem 1 stycznia 2002 r.;</w:t>
      </w:r>
    </w:p>
    <w:p w:rsidR="008779D3" w:rsidRDefault="00AC237A">
      <w:pPr>
        <w:spacing w:after="0"/>
      </w:pPr>
      <w:r>
        <w:rPr>
          <w:color w:val="000000"/>
        </w:rPr>
        <w:t>2) art. 13 § 2 pkt 4, art. 91 § 2, 3 i 4, art. 176, art. 177 i art. 179 § 1-4, które wchodzą w życie z dniem 1 stycznia 2003 r.</w:t>
      </w:r>
    </w:p>
    <w:p w:rsidR="008779D3" w:rsidRDefault="00AC237A">
      <w:pPr>
        <w:spacing w:after="0"/>
      </w:pPr>
      <w:r>
        <w:br/>
      </w:r>
    </w:p>
    <w:p w:rsidR="008779D3" w:rsidRDefault="00AC237A">
      <w:pPr>
        <w:spacing w:before="146" w:after="0"/>
        <w:jc w:val="center"/>
      </w:pPr>
      <w:r>
        <w:rPr>
          <w:b/>
          <w:color w:val="000000"/>
        </w:rPr>
        <w:t>USTAWA</w:t>
      </w:r>
    </w:p>
    <w:p w:rsidR="008779D3" w:rsidRDefault="00AC237A">
      <w:pPr>
        <w:spacing w:before="80" w:after="0"/>
        <w:jc w:val="center"/>
      </w:pPr>
      <w:r>
        <w:rPr>
          <w:color w:val="000000"/>
        </w:rPr>
        <w:t>z dnia 27 lipca 2001 r.</w:t>
      </w:r>
    </w:p>
    <w:p w:rsidR="008779D3" w:rsidRDefault="00AC237A">
      <w:pPr>
        <w:spacing w:before="80" w:after="0"/>
        <w:jc w:val="center"/>
      </w:pPr>
      <w:r>
        <w:rPr>
          <w:b/>
          <w:color w:val="000000"/>
        </w:rPr>
        <w:t>Prawo o ustroju sądów powszechnych</w:t>
      </w:r>
    </w:p>
    <w:p w:rsidR="00AC237A" w:rsidRDefault="00AC237A">
      <w:pPr>
        <w:spacing w:before="146" w:after="0"/>
        <w:jc w:val="center"/>
        <w:rPr>
          <w:b/>
          <w:color w:val="000000"/>
        </w:rPr>
      </w:pPr>
    </w:p>
    <w:p w:rsidR="008779D3" w:rsidRDefault="00AC237A">
      <w:pPr>
        <w:spacing w:before="146" w:after="0"/>
        <w:jc w:val="center"/>
      </w:pPr>
      <w:r>
        <w:rPr>
          <w:b/>
          <w:color w:val="000000"/>
        </w:rPr>
        <w:t xml:space="preserve">Rozdział 7 </w:t>
      </w:r>
    </w:p>
    <w:p w:rsidR="008779D3" w:rsidRDefault="00AC237A">
      <w:pPr>
        <w:spacing w:before="25" w:after="0"/>
        <w:jc w:val="center"/>
      </w:pPr>
      <w:r>
        <w:rPr>
          <w:b/>
          <w:color w:val="000000"/>
        </w:rPr>
        <w:t>Ławnicy</w:t>
      </w:r>
    </w:p>
    <w:p w:rsidR="008779D3" w:rsidRDefault="00AC237A">
      <w:pPr>
        <w:spacing w:before="80" w:after="0"/>
      </w:pPr>
      <w:r>
        <w:rPr>
          <w:b/>
          <w:color w:val="000000"/>
        </w:rPr>
        <w:t xml:space="preserve">Art. 158.  [Wymagania na stanowisku ławnika] </w:t>
      </w:r>
    </w:p>
    <w:p w:rsidR="008779D3" w:rsidRDefault="00AC237A">
      <w:pPr>
        <w:spacing w:after="0"/>
      </w:pPr>
      <w:r>
        <w:rPr>
          <w:b/>
          <w:color w:val="000000"/>
        </w:rPr>
        <w:t xml:space="preserve">§ 1. </w:t>
      </w:r>
      <w:r>
        <w:rPr>
          <w:color w:val="000000"/>
        </w:rPr>
        <w:t>Ławnikiem może być wybrany ten, kto:</w:t>
      </w:r>
    </w:p>
    <w:p w:rsidR="008779D3" w:rsidRDefault="00AC237A">
      <w:pPr>
        <w:spacing w:before="26" w:after="0"/>
        <w:ind w:left="373"/>
      </w:pPr>
      <w:r>
        <w:rPr>
          <w:color w:val="000000"/>
        </w:rPr>
        <w:t>1) posiada obywatelstwo polskie i korzysta z pełni praw cywilnych i obywatelskich;</w:t>
      </w:r>
    </w:p>
    <w:p w:rsidR="008779D3" w:rsidRDefault="00AC237A">
      <w:pPr>
        <w:spacing w:before="26" w:after="0"/>
        <w:ind w:left="373"/>
      </w:pPr>
      <w:r>
        <w:rPr>
          <w:color w:val="000000"/>
        </w:rPr>
        <w:t>2) jest nieskazitelnego charakteru;</w:t>
      </w:r>
    </w:p>
    <w:p w:rsidR="008779D3" w:rsidRDefault="00AC237A">
      <w:pPr>
        <w:spacing w:before="26" w:after="0"/>
        <w:ind w:left="373"/>
      </w:pPr>
      <w:r>
        <w:rPr>
          <w:color w:val="000000"/>
        </w:rPr>
        <w:t>3) ukończył 30 lat;</w:t>
      </w:r>
    </w:p>
    <w:p w:rsidR="008779D3" w:rsidRDefault="00AC237A">
      <w:pPr>
        <w:spacing w:before="26" w:after="0"/>
        <w:ind w:left="373"/>
      </w:pPr>
      <w:r>
        <w:rPr>
          <w:color w:val="000000"/>
        </w:rPr>
        <w:t>4) jest zatrudniony, prowadzi działalność gospodarczą lub mieszka w miejscu kandydowania co najmniej od roku;</w:t>
      </w:r>
    </w:p>
    <w:p w:rsidR="008779D3" w:rsidRDefault="00AC237A">
      <w:pPr>
        <w:spacing w:before="26" w:after="0"/>
        <w:ind w:left="373"/>
      </w:pPr>
      <w:r>
        <w:rPr>
          <w:color w:val="000000"/>
        </w:rPr>
        <w:t>5) nie przekroczył 70 lat;</w:t>
      </w:r>
    </w:p>
    <w:p w:rsidR="008779D3" w:rsidRDefault="00AC237A">
      <w:pPr>
        <w:spacing w:before="26" w:after="0"/>
        <w:ind w:left="373"/>
      </w:pPr>
      <w:r>
        <w:rPr>
          <w:color w:val="000000"/>
        </w:rPr>
        <w:t>6) jest zdolny, ze względu na stan zdrowia, do pełnienia obowiązków ławnika;</w:t>
      </w:r>
    </w:p>
    <w:p w:rsidR="008779D3" w:rsidRDefault="00AC237A">
      <w:pPr>
        <w:spacing w:before="26" w:after="0"/>
        <w:ind w:left="373"/>
      </w:pPr>
      <w:r>
        <w:rPr>
          <w:color w:val="000000"/>
        </w:rPr>
        <w:t>7) posiada co najmniej wykształcenie średnie lub średnie branżowe.</w:t>
      </w:r>
    </w:p>
    <w:p w:rsidR="008779D3" w:rsidRDefault="008779D3">
      <w:pPr>
        <w:spacing w:after="0"/>
      </w:pPr>
    </w:p>
    <w:p w:rsidR="008779D3" w:rsidRDefault="00AC237A">
      <w:pPr>
        <w:spacing w:before="26" w:after="0"/>
      </w:pPr>
      <w:r>
        <w:rPr>
          <w:b/>
          <w:color w:val="000000"/>
        </w:rPr>
        <w:t xml:space="preserve">§ 2. </w:t>
      </w:r>
      <w:r>
        <w:rPr>
          <w:color w:val="000000"/>
        </w:rPr>
        <w:t>(uchylony).</w:t>
      </w:r>
    </w:p>
    <w:p w:rsidR="008779D3" w:rsidRDefault="00AC237A">
      <w:pPr>
        <w:spacing w:before="26" w:after="0"/>
      </w:pPr>
      <w:r>
        <w:rPr>
          <w:b/>
          <w:color w:val="000000"/>
        </w:rPr>
        <w:t xml:space="preserve">§ 3. </w:t>
      </w:r>
      <w:r>
        <w:rPr>
          <w:color w:val="000000"/>
        </w:rPr>
        <w:t>Do orzekania w sprawach z zakresu prawa pracy ławnikiem powinna być wybrana osoba wykazująca szczególną znajomość spraw pracowniczych.</w:t>
      </w:r>
    </w:p>
    <w:p w:rsidR="008779D3" w:rsidRDefault="00AC237A">
      <w:pPr>
        <w:spacing w:before="80" w:after="0"/>
      </w:pPr>
      <w:r>
        <w:rPr>
          <w:b/>
          <w:color w:val="000000"/>
        </w:rPr>
        <w:t xml:space="preserve">Art. 159.  [Osoby niemogące być ławnikami] </w:t>
      </w:r>
    </w:p>
    <w:p w:rsidR="008779D3" w:rsidRDefault="00AC237A">
      <w:pPr>
        <w:spacing w:after="0"/>
      </w:pPr>
      <w:r>
        <w:rPr>
          <w:b/>
          <w:color w:val="000000"/>
        </w:rPr>
        <w:lastRenderedPageBreak/>
        <w:t xml:space="preserve">§ 1. </w:t>
      </w:r>
      <w:r>
        <w:rPr>
          <w:color w:val="000000"/>
        </w:rPr>
        <w:t>Ławnikami nie mogą być:</w:t>
      </w:r>
    </w:p>
    <w:p w:rsidR="008779D3" w:rsidRDefault="00AC237A">
      <w:pPr>
        <w:spacing w:before="26" w:after="0"/>
        <w:ind w:left="373"/>
      </w:pPr>
      <w:r>
        <w:rPr>
          <w:color w:val="000000"/>
        </w:rPr>
        <w:t>1) osoby zatrudnione w sądach powszechnych i innych sądach oraz w prokuraturze;</w:t>
      </w:r>
    </w:p>
    <w:p w:rsidR="008779D3" w:rsidRDefault="00AC237A">
      <w:pPr>
        <w:spacing w:before="26" w:after="0"/>
        <w:ind w:left="373"/>
      </w:pPr>
      <w:r>
        <w:rPr>
          <w:color w:val="000000"/>
        </w:rPr>
        <w:t>2) osoby wchodzące w skład organów, od których orzeczenia można żądać skierowania sprawy na drogę postępowania sądowego;</w:t>
      </w:r>
    </w:p>
    <w:p w:rsidR="008779D3" w:rsidRDefault="00AC237A">
      <w:pPr>
        <w:spacing w:before="26" w:after="0"/>
        <w:ind w:left="373"/>
      </w:pPr>
      <w:r>
        <w:rPr>
          <w:color w:val="000000"/>
        </w:rPr>
        <w:t>3) funkcjonariusze Policji oraz inne osoby zajmujące stanowiska związane ze ściganiem przestępstw i wykroczeń;</w:t>
      </w:r>
    </w:p>
    <w:p w:rsidR="008779D3" w:rsidRDefault="00AC237A">
      <w:pPr>
        <w:spacing w:before="26" w:after="0"/>
        <w:ind w:left="373"/>
      </w:pPr>
      <w:r>
        <w:rPr>
          <w:color w:val="000000"/>
        </w:rPr>
        <w:t>4) adwokaci i aplikanci adwokaccy;</w:t>
      </w:r>
    </w:p>
    <w:p w:rsidR="008779D3" w:rsidRDefault="00AC237A">
      <w:pPr>
        <w:spacing w:before="26" w:after="0"/>
        <w:ind w:left="373"/>
      </w:pPr>
      <w:r>
        <w:rPr>
          <w:color w:val="000000"/>
        </w:rPr>
        <w:t>5) radcy prawni i aplikanci radcowscy;</w:t>
      </w:r>
    </w:p>
    <w:p w:rsidR="008779D3" w:rsidRDefault="00AC237A">
      <w:pPr>
        <w:spacing w:before="26" w:after="0"/>
        <w:ind w:left="373"/>
      </w:pPr>
      <w:r>
        <w:rPr>
          <w:color w:val="000000"/>
        </w:rPr>
        <w:t>6) duchowni;</w:t>
      </w:r>
    </w:p>
    <w:p w:rsidR="008779D3" w:rsidRDefault="00AC237A">
      <w:pPr>
        <w:spacing w:before="26" w:after="0"/>
        <w:ind w:left="373"/>
      </w:pPr>
      <w:r>
        <w:rPr>
          <w:color w:val="000000"/>
        </w:rPr>
        <w:t>7) żołnierze w czynnej służbie wojskowej;</w:t>
      </w:r>
    </w:p>
    <w:p w:rsidR="008779D3" w:rsidRDefault="00AC237A">
      <w:pPr>
        <w:spacing w:before="26" w:after="0"/>
        <w:ind w:left="373"/>
      </w:pPr>
      <w:r>
        <w:rPr>
          <w:color w:val="000000"/>
        </w:rPr>
        <w:t>8) funkcjonariusze Służby Więziennej;</w:t>
      </w:r>
    </w:p>
    <w:p w:rsidR="008779D3" w:rsidRDefault="00AC237A">
      <w:pPr>
        <w:spacing w:before="26" w:after="0"/>
        <w:ind w:left="373"/>
      </w:pPr>
      <w:r>
        <w:rPr>
          <w:color w:val="000000"/>
        </w:rPr>
        <w:t>9) radni gminy, powiatu i województwa.</w:t>
      </w:r>
    </w:p>
    <w:p w:rsidR="008779D3" w:rsidRDefault="008779D3">
      <w:pPr>
        <w:spacing w:after="0"/>
      </w:pPr>
    </w:p>
    <w:p w:rsidR="008779D3" w:rsidRDefault="00AC237A">
      <w:pPr>
        <w:spacing w:before="26" w:after="0"/>
      </w:pPr>
      <w:r>
        <w:rPr>
          <w:b/>
          <w:color w:val="000000"/>
        </w:rPr>
        <w:t xml:space="preserve">§ 2. </w:t>
      </w:r>
      <w:r>
        <w:rPr>
          <w:color w:val="000000"/>
        </w:rPr>
        <w:t>Nie można być ławnikiem jednocześnie w więcej niż jednym sądzie.</w:t>
      </w:r>
    </w:p>
    <w:p w:rsidR="008779D3" w:rsidRDefault="00AC237A">
      <w:pPr>
        <w:spacing w:before="80" w:after="0"/>
      </w:pPr>
      <w:r>
        <w:rPr>
          <w:b/>
          <w:color w:val="000000"/>
        </w:rPr>
        <w:t xml:space="preserve">Art. 160.  [Wybory ławników] </w:t>
      </w:r>
    </w:p>
    <w:p w:rsidR="008779D3" w:rsidRDefault="00AC237A">
      <w:pPr>
        <w:spacing w:after="0"/>
      </w:pPr>
      <w:r>
        <w:rPr>
          <w:b/>
          <w:color w:val="000000"/>
        </w:rPr>
        <w:t xml:space="preserve">§ 1. </w:t>
      </w:r>
      <w:r>
        <w:rPr>
          <w:color w:val="000000"/>
        </w:rPr>
        <w:t>Ławników do sądów okręgowych oraz do sądów rejonowych wybierają rady gmin, których obszar jest objęty właściwością tych sądów - w głosowaniu tajnym.</w:t>
      </w:r>
    </w:p>
    <w:p w:rsidR="008779D3" w:rsidRDefault="00AC237A">
      <w:pPr>
        <w:spacing w:before="26" w:after="0"/>
      </w:pPr>
      <w:r>
        <w:rPr>
          <w:b/>
          <w:color w:val="000000"/>
        </w:rPr>
        <w:t xml:space="preserve">§ 2. </w:t>
      </w:r>
      <w:r>
        <w:rPr>
          <w:color w:val="000000"/>
        </w:rPr>
        <w:t>Wybory przygotowują gminy jako zadanie zlecone z zakresu administracji rządowej.</w:t>
      </w:r>
    </w:p>
    <w:p w:rsidR="008779D3" w:rsidRDefault="00AC237A">
      <w:pPr>
        <w:spacing w:before="80" w:after="0"/>
      </w:pPr>
      <w:r>
        <w:rPr>
          <w:b/>
          <w:color w:val="000000"/>
        </w:rPr>
        <w:t xml:space="preserve">Art. 161.  [Ustalenie liczby ławników] </w:t>
      </w:r>
    </w:p>
    <w:p w:rsidR="008779D3" w:rsidRDefault="00AC237A">
      <w:pPr>
        <w:spacing w:after="0"/>
      </w:pPr>
      <w:r>
        <w:rPr>
          <w:b/>
          <w:color w:val="000000"/>
        </w:rPr>
        <w:t xml:space="preserve">§ 1. </w:t>
      </w:r>
      <w:r>
        <w:rPr>
          <w:color w:val="000000"/>
        </w:rPr>
        <w:t>Liczbę ławników wybieranych przez poszczególne rady gmin do wszystkich sądów działających na obszarze właściwości sądu okręgowego, w tym także liczbę ławników do orzekania w sprawach z zakresu prawa pracy, ustala kolegium sądu okręgowego; liczbę ławników do poszczególnych sądów rejonowych ustala się po zasięgnięciu opinii prezesów tych sądów.</w:t>
      </w:r>
    </w:p>
    <w:p w:rsidR="008779D3" w:rsidRDefault="00AC237A">
      <w:pPr>
        <w:spacing w:before="26" w:after="0"/>
      </w:pPr>
      <w:r>
        <w:rPr>
          <w:b/>
          <w:color w:val="000000"/>
        </w:rPr>
        <w:t xml:space="preserve">§ 2. </w:t>
      </w:r>
      <w:r>
        <w:rPr>
          <w:color w:val="000000"/>
        </w:rPr>
        <w:t>Prezes sądu okręgowego podaje liczbę ławników do wiadomości poszczególnym radom gmin najpóźniej na trzydzieści dni przed upływem terminu zgłaszania kandydatów.</w:t>
      </w:r>
    </w:p>
    <w:p w:rsidR="008779D3" w:rsidRDefault="00AC237A">
      <w:pPr>
        <w:spacing w:before="80" w:after="0"/>
      </w:pPr>
      <w:r>
        <w:rPr>
          <w:b/>
          <w:color w:val="000000"/>
        </w:rPr>
        <w:t xml:space="preserve">Art. 162.  [Zgłaszanie kandydatów na ławników] </w:t>
      </w:r>
    </w:p>
    <w:p w:rsidR="008779D3" w:rsidRDefault="00AC237A">
      <w:pPr>
        <w:spacing w:after="0"/>
      </w:pPr>
      <w:r>
        <w:rPr>
          <w:b/>
          <w:color w:val="000000"/>
        </w:rPr>
        <w:t xml:space="preserve">§ 1. </w:t>
      </w:r>
      <w:r>
        <w:rPr>
          <w:color w:val="000000"/>
        </w:rPr>
        <w:t>Kandydatów na ławników mogą zgłaszać radom gmin prezesi właściwych sądów, stowarzyszenia, inne organizacje społeczne i zawodowe, zarejestrowane na podstawie przepisów prawa, z wyłączeniem partii politycznych, oraz co najmniej pięćdziesięciu obywateli mających czynne prawo wyborcze, zamieszkujących stale na terenie gminy dokonującej wyboru, w terminie do dnia 30 czerwca ostatniego roku kadencji.</w:t>
      </w:r>
    </w:p>
    <w:p w:rsidR="008779D3" w:rsidRDefault="00AC237A">
      <w:pPr>
        <w:spacing w:before="26" w:after="0"/>
      </w:pPr>
      <w:r>
        <w:rPr>
          <w:b/>
          <w:color w:val="000000"/>
        </w:rPr>
        <w:t xml:space="preserve">§ 2. </w:t>
      </w:r>
      <w:r>
        <w:rPr>
          <w:color w:val="000000"/>
        </w:rPr>
        <w:t>Do zgłoszenia kandydata na ławnika dokonanego na karcie zgłoszenia dołącza się następujące dokumenty:</w:t>
      </w:r>
    </w:p>
    <w:p w:rsidR="008779D3" w:rsidRDefault="00AC237A">
      <w:pPr>
        <w:spacing w:before="26" w:after="0"/>
        <w:ind w:left="373"/>
      </w:pPr>
      <w:r>
        <w:rPr>
          <w:color w:val="000000"/>
        </w:rPr>
        <w:t>1) informację z Krajowego Rejestru Karnego dotyczącą zgłaszanej osoby;</w:t>
      </w:r>
    </w:p>
    <w:p w:rsidR="008779D3" w:rsidRDefault="00AC237A">
      <w:pPr>
        <w:spacing w:before="26" w:after="0"/>
        <w:ind w:left="373"/>
      </w:pPr>
      <w:r>
        <w:rPr>
          <w:color w:val="000000"/>
        </w:rPr>
        <w:t>2) oświadczenie kandydata, że nie jest prowadzone przeciwko niemu postępowanie o przestępstwo ścigane z oskarżenia publicznego lub przestępstwo skarbowe;</w:t>
      </w:r>
    </w:p>
    <w:p w:rsidR="008779D3" w:rsidRDefault="00AC237A">
      <w:pPr>
        <w:spacing w:before="26" w:after="0"/>
        <w:ind w:left="373"/>
      </w:pPr>
      <w:r>
        <w:rPr>
          <w:color w:val="000000"/>
        </w:rPr>
        <w:t>3) oświadczenie kandydata, że nie jest lub nie był pozbawiony władzy rodzicielskiej, a także, że władza rodzicielska nie została mu ograniczona ani zawieszona;</w:t>
      </w:r>
    </w:p>
    <w:p w:rsidR="008779D3" w:rsidRDefault="00AC237A">
      <w:pPr>
        <w:spacing w:before="26" w:after="0"/>
        <w:ind w:left="373"/>
      </w:pPr>
      <w:r>
        <w:rPr>
          <w:color w:val="000000"/>
        </w:rPr>
        <w:t xml:space="preserve">4) zaświadczenie lekarskie o stanie zdrowia, wystawione przez lekarza podstawowej opieki zdrowotnej, w rozumieniu przepisów </w:t>
      </w:r>
      <w:r>
        <w:rPr>
          <w:color w:val="1B1B1B"/>
        </w:rPr>
        <w:t>ustawy</w:t>
      </w:r>
      <w:r>
        <w:rPr>
          <w:color w:val="000000"/>
        </w:rPr>
        <w:t xml:space="preserve"> z dnia 27 października 2017 r. o </w:t>
      </w:r>
      <w:r>
        <w:rPr>
          <w:color w:val="000000"/>
        </w:rPr>
        <w:lastRenderedPageBreak/>
        <w:t>podstawowej opiece zdrowotnej (Dz. U. poz. 2217 oraz z 2018 r. poz. 1000 i 1544), stwierdzające brak przeciwwskazań do wykonywania funkcji ławnika;</w:t>
      </w:r>
    </w:p>
    <w:p w:rsidR="008779D3" w:rsidRDefault="00AC237A">
      <w:pPr>
        <w:spacing w:before="26" w:after="0"/>
        <w:ind w:left="373"/>
      </w:pPr>
      <w:r>
        <w:rPr>
          <w:color w:val="000000"/>
        </w:rPr>
        <w:t>5) dwa zdjęcia zgodne z wymogami stosowanymi przy składaniu wniosku o wydanie dowodu osobistego.</w:t>
      </w:r>
    </w:p>
    <w:p w:rsidR="008779D3" w:rsidRDefault="00AC237A">
      <w:pPr>
        <w:spacing w:before="26" w:after="0"/>
      </w:pPr>
      <w:r>
        <w:rPr>
          <w:b/>
          <w:color w:val="000000"/>
        </w:rPr>
        <w:t xml:space="preserve">§ 3. </w:t>
      </w:r>
      <w:r>
        <w:rPr>
          <w:color w:val="000000"/>
        </w:rPr>
        <w:t>Do zgłoszenia kandydata na ławnika dokonanego na karcie zgłoszenia przez stowarzyszenie, inną organizację społeczną lub zawodową, zarejestrowaną na podstawie przepisów prawa, dołącza się również aktualny odpis z Krajowego Rejestru Sądowego albo odpis lub zaświadczenie potwierdzające wpis do innego właściwego rejestru lub ewidencji dotyczące tej organizacji.</w:t>
      </w:r>
    </w:p>
    <w:p w:rsidR="008779D3" w:rsidRDefault="00AC237A">
      <w:pPr>
        <w:spacing w:before="26" w:after="0"/>
      </w:pPr>
      <w:r>
        <w:rPr>
          <w:b/>
          <w:color w:val="000000"/>
        </w:rPr>
        <w:t xml:space="preserve">§ 4. </w:t>
      </w:r>
      <w:r>
        <w:rPr>
          <w:color w:val="000000"/>
        </w:rPr>
        <w:t>Do zgłoszenia kandydata na ławnika dokonanego na karcie zgłoszenia przez obywateli dołącza się również listę osób zawierającą imię (imiona), nazwisko, numer ewidencyjny PESEL, miejsce stałego zamieszkania i własnoręczny podpis każdej z pięćdziesięciu osób zgłaszających kandydata.</w:t>
      </w:r>
    </w:p>
    <w:p w:rsidR="008779D3" w:rsidRDefault="00AC237A">
      <w:pPr>
        <w:spacing w:before="26" w:after="0"/>
      </w:pPr>
      <w:r>
        <w:rPr>
          <w:b/>
          <w:color w:val="000000"/>
        </w:rPr>
        <w:t xml:space="preserve">§ 5. </w:t>
      </w:r>
      <w:r>
        <w:rPr>
          <w:color w:val="000000"/>
        </w:rPr>
        <w:t>Dokumenty wymienione w § 2 pkt 1-4 powinny być opatrzone datą nie wcześniejszą niż trzydzieści dni przed dniem zgłoszenia, a dokumenty wymienione w § 3 nie wcześniejszą niż trzy miesiące przed dniem zgłoszenia.</w:t>
      </w:r>
    </w:p>
    <w:p w:rsidR="008779D3" w:rsidRDefault="00AC237A">
      <w:pPr>
        <w:spacing w:before="26" w:after="0"/>
      </w:pPr>
      <w:r>
        <w:rPr>
          <w:b/>
          <w:color w:val="000000"/>
        </w:rPr>
        <w:t xml:space="preserve">§ 6. </w:t>
      </w:r>
      <w:r>
        <w:rPr>
          <w:color w:val="000000"/>
        </w:rPr>
        <w:t>Osobą uprawnioną do składania wyjaśnień w sprawie zgłoszenia kandydata na ławnika przez obywateli jest osoba, której nazwisko zostało umieszczone jako pierwsze na liście, o której mowa w § 4.</w:t>
      </w:r>
    </w:p>
    <w:p w:rsidR="008779D3" w:rsidRDefault="00AC237A">
      <w:pPr>
        <w:spacing w:before="26" w:after="0"/>
      </w:pPr>
      <w:r>
        <w:rPr>
          <w:b/>
          <w:color w:val="000000"/>
        </w:rPr>
        <w:t xml:space="preserve">§ 7. </w:t>
      </w:r>
      <w:r>
        <w:rPr>
          <w:color w:val="000000"/>
        </w:rPr>
        <w:t>Koszt opłaty za wydanie informacji z Krajowego Rejestru Karnego ponosi Skarb Państwa.</w:t>
      </w:r>
    </w:p>
    <w:p w:rsidR="008779D3" w:rsidRDefault="00AC237A">
      <w:pPr>
        <w:spacing w:before="26" w:after="0"/>
      </w:pPr>
      <w:r>
        <w:rPr>
          <w:b/>
          <w:color w:val="000000"/>
        </w:rPr>
        <w:t xml:space="preserve">§ 7a. </w:t>
      </w:r>
      <w:r>
        <w:rPr>
          <w:color w:val="000000"/>
        </w:rPr>
        <w:t>Koszt opłaty za badanie lekarskie i za wystawienie zaświadczenia lekarskiego ponosi kandydat na ławnika.</w:t>
      </w:r>
    </w:p>
    <w:p w:rsidR="008779D3" w:rsidRDefault="00AC237A">
      <w:pPr>
        <w:spacing w:before="26" w:after="0"/>
      </w:pPr>
      <w:r>
        <w:rPr>
          <w:b/>
          <w:color w:val="000000"/>
        </w:rPr>
        <w:t xml:space="preserve">§ 8. </w:t>
      </w:r>
      <w:r>
        <w:rPr>
          <w:color w:val="000000"/>
        </w:rPr>
        <w:t>Koszt opłaty za wydanie aktualnego odpisu z Krajowego Rejestru Sądowego albo odpisu lub zaświadczenia z innego właściwego rejestru lub ewidencji ponosi Skarb Państwa.</w:t>
      </w:r>
    </w:p>
    <w:p w:rsidR="008779D3" w:rsidRDefault="00AC237A">
      <w:pPr>
        <w:spacing w:before="26" w:after="0"/>
      </w:pPr>
      <w:r>
        <w:rPr>
          <w:b/>
          <w:color w:val="000000"/>
        </w:rPr>
        <w:t xml:space="preserve">§ 9. </w:t>
      </w:r>
      <w:r>
        <w:rPr>
          <w:color w:val="000000"/>
        </w:rPr>
        <w:t>Rady gmin zasięgają od komendanta wojewódzkiego Policji albo Komendanta Stołecznego Policji informacji o kandydatach na ławników. Informacje o kandydacie na ławnika uzyskuje się i sporządza na zasadach określonych dla informacji o kandydacie do objęcia stanowiska sędziowskiego.</w:t>
      </w:r>
    </w:p>
    <w:p w:rsidR="008779D3" w:rsidRDefault="00AC237A">
      <w:pPr>
        <w:spacing w:before="26" w:after="0"/>
      </w:pPr>
      <w:r>
        <w:rPr>
          <w:b/>
          <w:color w:val="000000"/>
        </w:rPr>
        <w:t xml:space="preserve">§ 10. </w:t>
      </w:r>
      <w:r>
        <w:rPr>
          <w:color w:val="000000"/>
        </w:rPr>
        <w:t>Zgłoszenia kandydatów, które wpłynęły do rady gminy po upływie terminu, o którym mowa w § 1, a także zgłoszenia, które nie spełniają wymagań formalnych, o których mowa w § 2-5, pozostawia się bez dalszego biegu. Przywrócenie terminu do zgłoszenia kandydatów jest niedopuszczalne. Pozostawienie zgłoszenia bez dalszego biegu rada gminy stwierdza w drodze uchwały.</w:t>
      </w:r>
    </w:p>
    <w:p w:rsidR="008779D3" w:rsidRDefault="00AC237A">
      <w:pPr>
        <w:spacing w:before="26" w:after="0"/>
      </w:pPr>
      <w:r>
        <w:rPr>
          <w:b/>
          <w:color w:val="000000"/>
        </w:rPr>
        <w:t xml:space="preserve">§ 11. </w:t>
      </w:r>
      <w:r>
        <w:rPr>
          <w:color w:val="000000"/>
        </w:rPr>
        <w:t>Minister Sprawiedliwości, po zasięgnięciu opinii Krajowej Rady Sądownictwa, określi, w drodze rozporządzenia, sposób postępowania z dokumentami złożonymi radom gmin przy zgłaszaniu kandydatów na ławników, wzór karty zgłoszenia oraz sposób jego udostępniania, mając na uwadze potrzebę udokumentowania przez podmioty zgłaszające spełnianie przez kandydatów na ławników wymogów określonych w ustawie, a także zapewnienia wyboru kandydatów o najwyższych walorach etycznych i intelektualnych, umożliwienia rzetelnej weryfikacji zgłoszeń i przejrzystości działań związanych ze zgłaszaniem kandydatów na ławników, a przez określenie wzoru karty zgłoszenia i sposobu jego udostępniania - potrzebę ujednolicenia procedury zgłaszania, ułatwienia dostępu do wzoru i rozpatrywania zgłoszeń.</w:t>
      </w:r>
    </w:p>
    <w:p w:rsidR="008779D3" w:rsidRDefault="00AC237A">
      <w:pPr>
        <w:spacing w:before="80" w:after="0"/>
      </w:pPr>
      <w:r>
        <w:rPr>
          <w:b/>
          <w:color w:val="000000"/>
        </w:rPr>
        <w:lastRenderedPageBreak/>
        <w:t xml:space="preserve">Art. 163.  [Organizacja wyborów ławników] </w:t>
      </w:r>
    </w:p>
    <w:p w:rsidR="008779D3" w:rsidRDefault="00AC237A">
      <w:pPr>
        <w:spacing w:after="0"/>
      </w:pPr>
      <w:r>
        <w:rPr>
          <w:b/>
          <w:color w:val="000000"/>
        </w:rPr>
        <w:t xml:space="preserve">§ 1. </w:t>
      </w:r>
      <w:r>
        <w:rPr>
          <w:color w:val="000000"/>
        </w:rPr>
        <w:t>Wybory ławników odbywają się najpóźniej w październiku roku kalendarzowego, w którym upływa kadencja dotychczasowych ławników.</w:t>
      </w:r>
    </w:p>
    <w:p w:rsidR="008779D3" w:rsidRDefault="00AC237A">
      <w:pPr>
        <w:spacing w:before="26" w:after="0"/>
      </w:pPr>
      <w:r>
        <w:rPr>
          <w:b/>
          <w:color w:val="000000"/>
        </w:rPr>
        <w:t xml:space="preserve">§ 2. </w:t>
      </w:r>
      <w:r>
        <w:rPr>
          <w:color w:val="000000"/>
        </w:rPr>
        <w:t>Przed przystąpieniem do wyborów rada gminy powołuje zespół, który przedstawia na sesji rady gminy swoją opinię o zgłoszonych kandydatach, w szczególności w zakresie spełnienia przez nich wymogów określonych w ustawie.</w:t>
      </w:r>
    </w:p>
    <w:p w:rsidR="008779D3" w:rsidRDefault="00AC237A">
      <w:pPr>
        <w:spacing w:before="80" w:after="0"/>
      </w:pPr>
      <w:r>
        <w:rPr>
          <w:b/>
          <w:color w:val="000000"/>
        </w:rPr>
        <w:t xml:space="preserve">Art. 164.  [Wpis na listę ławników; ślubowanie] </w:t>
      </w:r>
    </w:p>
    <w:p w:rsidR="008779D3" w:rsidRDefault="00AC237A">
      <w:pPr>
        <w:spacing w:after="0"/>
      </w:pPr>
      <w:r>
        <w:rPr>
          <w:b/>
          <w:color w:val="000000"/>
        </w:rPr>
        <w:t xml:space="preserve">§ 1. </w:t>
      </w:r>
      <w:r>
        <w:rPr>
          <w:color w:val="000000"/>
        </w:rPr>
        <w:t>Listę wybranych ławników wraz z dokumentami, o których mowa w art. 162 § 2-4, rady gmin, które dokonały ich wyboru, przesyłają prezesom właściwych sądów, najpóźniej do końca października. Spośród ławników znajdujących się na liście wybranych ławników rady gmin wskazują ławników do orzekania w sprawach z zakresu prawa pracy.</w:t>
      </w:r>
    </w:p>
    <w:p w:rsidR="008779D3" w:rsidRDefault="00AC237A">
      <w:pPr>
        <w:spacing w:before="26" w:after="0"/>
      </w:pPr>
      <w:r>
        <w:rPr>
          <w:b/>
          <w:color w:val="000000"/>
        </w:rPr>
        <w:t xml:space="preserve">§ 2. </w:t>
      </w:r>
      <w:r>
        <w:rPr>
          <w:color w:val="000000"/>
        </w:rPr>
        <w:t>Prezes sądu wręcza ławnikom zawiadomienie o wyborze i odbiera od nich ślubowanie według roty ustalonej dla sędziów, z odpowiednią zmianą.</w:t>
      </w:r>
    </w:p>
    <w:p w:rsidR="008779D3" w:rsidRDefault="00AC237A">
      <w:pPr>
        <w:spacing w:before="26" w:after="0"/>
      </w:pPr>
      <w:r>
        <w:rPr>
          <w:b/>
          <w:color w:val="000000"/>
        </w:rPr>
        <w:t xml:space="preserve">§ 3. </w:t>
      </w:r>
      <w:r>
        <w:rPr>
          <w:color w:val="000000"/>
        </w:rPr>
        <w:t>Po odebraniu ślubowania prezes sądu wpisuje ławnika na listę ławników, którzy mogą być wyznaczani do orzekania, i wydaje mu legitymację.</w:t>
      </w:r>
    </w:p>
    <w:p w:rsidR="008779D3" w:rsidRDefault="00AC237A">
      <w:pPr>
        <w:spacing w:before="80" w:after="0"/>
      </w:pPr>
      <w:r>
        <w:rPr>
          <w:b/>
          <w:color w:val="000000"/>
        </w:rPr>
        <w:t xml:space="preserve">Art. 165.  [Kadencja ławników] </w:t>
      </w:r>
    </w:p>
    <w:p w:rsidR="008779D3" w:rsidRDefault="00AC237A">
      <w:pPr>
        <w:spacing w:after="0"/>
      </w:pPr>
      <w:r>
        <w:rPr>
          <w:b/>
          <w:color w:val="000000"/>
        </w:rPr>
        <w:t xml:space="preserve">§ 1. </w:t>
      </w:r>
      <w:r>
        <w:rPr>
          <w:color w:val="000000"/>
        </w:rPr>
        <w:t>Kadencja ławników sądów okręgowych i rejonowych trwa cztery lata kalendarzowe następujące po roku, w którym dokonano wyborów, jednak mandat ławnika wybranego dodatkowo wygasa z upływem kadencji ogółu ławników.</w:t>
      </w:r>
    </w:p>
    <w:p w:rsidR="008779D3" w:rsidRDefault="00AC237A">
      <w:pPr>
        <w:spacing w:before="26" w:after="0"/>
      </w:pPr>
      <w:r>
        <w:rPr>
          <w:b/>
          <w:color w:val="000000"/>
        </w:rPr>
        <w:t xml:space="preserve">§ 2. </w:t>
      </w:r>
      <w:r>
        <w:rPr>
          <w:color w:val="000000"/>
        </w:rPr>
        <w:t>Po upływie kadencji ławnik może brać udział jedynie w rozpoznawaniu sprawy rozpoczętej wcześniej z jego udziałem, do czasu jej zakończenia.</w:t>
      </w:r>
    </w:p>
    <w:p w:rsidR="008779D3" w:rsidRDefault="00AC237A">
      <w:pPr>
        <w:spacing w:before="80" w:after="0"/>
      </w:pPr>
      <w:r>
        <w:rPr>
          <w:b/>
          <w:color w:val="000000"/>
        </w:rPr>
        <w:t xml:space="preserve">Art. 166.  [Wygaśnięcie mandatu ławnika; odwołanie ławnika] </w:t>
      </w:r>
    </w:p>
    <w:p w:rsidR="008779D3" w:rsidRDefault="00AC237A">
      <w:pPr>
        <w:spacing w:after="0"/>
      </w:pPr>
      <w:r>
        <w:rPr>
          <w:b/>
          <w:color w:val="000000"/>
        </w:rPr>
        <w:t xml:space="preserve">§ 1. </w:t>
      </w:r>
      <w:r>
        <w:rPr>
          <w:color w:val="000000"/>
        </w:rPr>
        <w:t>Mandat ławnika wygasa w razie prawomocnego skazania za przestępstwo bądź wykroczenie, w tym również za przestępstwo lub wykroczenie skarbowe. Rada gminy, która wybrała ławnika, stwierdza wygaśnięcie mandatu z tego powodu i informuje o tym prezesa właściwego sądu.</w:t>
      </w:r>
    </w:p>
    <w:p w:rsidR="008779D3" w:rsidRDefault="00AC237A">
      <w:pPr>
        <w:spacing w:before="26" w:after="0"/>
      </w:pPr>
      <w:r>
        <w:rPr>
          <w:b/>
          <w:color w:val="000000"/>
        </w:rPr>
        <w:t xml:space="preserve">§ 2. </w:t>
      </w:r>
      <w:r>
        <w:rPr>
          <w:color w:val="000000"/>
        </w:rPr>
        <w:t>Rada gminy, która wybrała ławnika, może go odwołać na wniosek prezesa właściwego sądu, w razie:</w:t>
      </w:r>
    </w:p>
    <w:p w:rsidR="008779D3" w:rsidRDefault="00AC237A">
      <w:pPr>
        <w:spacing w:before="26" w:after="0"/>
        <w:ind w:left="373"/>
      </w:pPr>
      <w:r>
        <w:rPr>
          <w:color w:val="000000"/>
        </w:rPr>
        <w:t>1) (uchylony);</w:t>
      </w:r>
    </w:p>
    <w:p w:rsidR="008779D3" w:rsidRDefault="00AC237A">
      <w:pPr>
        <w:spacing w:before="26" w:after="0"/>
        <w:ind w:left="373"/>
      </w:pPr>
      <w:r>
        <w:rPr>
          <w:color w:val="000000"/>
        </w:rPr>
        <w:t>2) niewykonywania obowiązków ławnika;</w:t>
      </w:r>
    </w:p>
    <w:p w:rsidR="008779D3" w:rsidRDefault="00AC237A">
      <w:pPr>
        <w:spacing w:before="26" w:after="0"/>
        <w:ind w:left="373"/>
      </w:pPr>
      <w:r>
        <w:rPr>
          <w:color w:val="000000"/>
        </w:rPr>
        <w:t>3) zachowania godzącego w powagę sądu;</w:t>
      </w:r>
    </w:p>
    <w:p w:rsidR="008779D3" w:rsidRDefault="00AC237A">
      <w:pPr>
        <w:spacing w:before="26" w:after="0"/>
        <w:ind w:left="373"/>
      </w:pPr>
      <w:r>
        <w:rPr>
          <w:color w:val="000000"/>
        </w:rPr>
        <w:t>4) niezdolności do wykonywania obowiązków ławnika.</w:t>
      </w:r>
    </w:p>
    <w:p w:rsidR="008779D3" w:rsidRDefault="00AC237A">
      <w:pPr>
        <w:spacing w:before="26" w:after="0"/>
      </w:pPr>
      <w:r>
        <w:rPr>
          <w:b/>
          <w:color w:val="000000"/>
        </w:rPr>
        <w:t xml:space="preserve">§ 2a. </w:t>
      </w:r>
      <w:r>
        <w:rPr>
          <w:color w:val="000000"/>
        </w:rPr>
        <w:t>Wniosek, o którym mowa w § 2, jest składany łącznie z opiniami właściwej rady ławniczej oraz kolegium właściwego sądu okręgowego albo z oświadczeniem prezesa właściwego sądu, że taka opinia lub takie opinie nie zostały wydane w terminie 21 dni od dnia doręczenia wniosku do zaopiniowania. W przypadku braku opinii prezes właściwego sądu przedkłada radzie gminy wraz z wnioskiem potwierdzenie jego doręczenia podmiotowi uprawnionemu do wydania opinii. Niewydanie opinii w terminie uważa się za niezgłoszenie uwag do wniosku. Przepis art. 31 § 2 stosuje się odpowiednio.</w:t>
      </w:r>
    </w:p>
    <w:p w:rsidR="008779D3" w:rsidRDefault="00AC237A">
      <w:pPr>
        <w:spacing w:before="26" w:after="0"/>
      </w:pPr>
      <w:r>
        <w:rPr>
          <w:b/>
          <w:color w:val="000000"/>
        </w:rPr>
        <w:t xml:space="preserve">§ 2b. </w:t>
      </w:r>
      <w:r>
        <w:rPr>
          <w:color w:val="000000"/>
        </w:rPr>
        <w:t xml:space="preserve">Przed podjęciem uchwały w sprawie wniosku o odwołanie ławnika przewodniczący rady gminy umożliwia wysłuchanie ławnika i jego udział w posiedzeniu właściwej komisji i w sesji rady gminy, na których taki wniosek będzie opiniowany i rozpoznawany. O terminach </w:t>
      </w:r>
      <w:r>
        <w:rPr>
          <w:color w:val="000000"/>
        </w:rPr>
        <w:lastRenderedPageBreak/>
        <w:t>posiedzenia komisji i sesji rady gminy ławnik jest powiadamiany na piśmie, co najmniej z siedmiodniowym wyprzedzeniem, w trybie i w sposób przewidziany w Kodeksie postępowania administracyjnego.</w:t>
      </w:r>
    </w:p>
    <w:p w:rsidR="008779D3" w:rsidRDefault="00AC237A">
      <w:pPr>
        <w:spacing w:before="26" w:after="0"/>
      </w:pPr>
      <w:r>
        <w:rPr>
          <w:b/>
          <w:color w:val="000000"/>
        </w:rPr>
        <w:t xml:space="preserve">§ 2c. </w:t>
      </w:r>
      <w:r>
        <w:rPr>
          <w:color w:val="000000"/>
        </w:rPr>
        <w:t>W sprawach, o których mowa w § 2b, ławnik działa osobiście, a w razie niemożności osobistego stawiennictwa może działać przez pełnomocnika.</w:t>
      </w:r>
    </w:p>
    <w:p w:rsidR="008779D3" w:rsidRDefault="00AC237A">
      <w:pPr>
        <w:spacing w:before="26" w:after="0"/>
      </w:pPr>
      <w:r>
        <w:rPr>
          <w:b/>
          <w:color w:val="000000"/>
        </w:rPr>
        <w:t xml:space="preserve">§ 3. </w:t>
      </w:r>
      <w:r>
        <w:rPr>
          <w:color w:val="000000"/>
        </w:rPr>
        <w:t>Przed upływem kadencji mandat ławnika wygasa z dniem doręczenia mu zawiadomienia prezesa sądu o skreśleniu z listy ławników wskutek zrzeczenia się mandatu z ważnych przyczyn lub odwołania ławnika przez radę gminy.</w:t>
      </w:r>
    </w:p>
    <w:p w:rsidR="008779D3" w:rsidRDefault="00AC237A">
      <w:pPr>
        <w:spacing w:before="80" w:after="0"/>
      </w:pPr>
      <w:r>
        <w:rPr>
          <w:b/>
          <w:color w:val="000000"/>
        </w:rPr>
        <w:t xml:space="preserve">Art. 167.  [Okoliczności wyłączające powołanie ławnika do pełnienia obowiązków] </w:t>
      </w:r>
    </w:p>
    <w:p w:rsidR="008779D3" w:rsidRDefault="00AC237A">
      <w:pPr>
        <w:spacing w:after="0"/>
      </w:pPr>
      <w:r>
        <w:rPr>
          <w:b/>
          <w:color w:val="000000"/>
        </w:rPr>
        <w:t xml:space="preserve">§ 1. </w:t>
      </w:r>
      <w:r>
        <w:rPr>
          <w:color w:val="000000"/>
        </w:rPr>
        <w:t>W czasie trwania kadencji nie powołuje się ławnika do pełnienia obowiązków w przypadku:</w:t>
      </w:r>
    </w:p>
    <w:p w:rsidR="008779D3" w:rsidRDefault="00AC237A">
      <w:pPr>
        <w:spacing w:before="26" w:after="0"/>
        <w:ind w:left="373"/>
      </w:pPr>
      <w:r>
        <w:rPr>
          <w:color w:val="000000"/>
        </w:rPr>
        <w:t>1) ujawnienia okoliczności, które nie pozwalały na jego wybór;</w:t>
      </w:r>
    </w:p>
    <w:p w:rsidR="008779D3" w:rsidRDefault="00AC237A">
      <w:pPr>
        <w:spacing w:before="26" w:after="0"/>
        <w:ind w:left="373"/>
      </w:pPr>
      <w:r>
        <w:rPr>
          <w:color w:val="000000"/>
        </w:rPr>
        <w:t>2) wszczęcia postępowania o odwołanie ławnika - do czasu podjęcia przez radę gminy uchwały w przedmiocie odwołania;</w:t>
      </w:r>
    </w:p>
    <w:p w:rsidR="008779D3" w:rsidRDefault="00AC237A">
      <w:pPr>
        <w:spacing w:before="26" w:after="0"/>
        <w:ind w:left="373"/>
      </w:pPr>
      <w:r>
        <w:rPr>
          <w:color w:val="000000"/>
        </w:rPr>
        <w:t>3) wszczęcia przeciwko ławnikowi postępowania o przestępstwo ścigane z oskarżenia publicznego lub przestępstwo skarbowe - do czasu prawomocnego rozstrzygnięcia sprawy.</w:t>
      </w:r>
    </w:p>
    <w:p w:rsidR="008779D3" w:rsidRDefault="008779D3">
      <w:pPr>
        <w:spacing w:after="0"/>
      </w:pPr>
    </w:p>
    <w:p w:rsidR="008779D3" w:rsidRDefault="00AC237A">
      <w:pPr>
        <w:spacing w:before="26" w:after="0"/>
      </w:pPr>
      <w:r>
        <w:rPr>
          <w:b/>
          <w:color w:val="000000"/>
        </w:rPr>
        <w:t xml:space="preserve">§ 2. </w:t>
      </w:r>
      <w:r>
        <w:rPr>
          <w:color w:val="000000"/>
        </w:rPr>
        <w:t>W razie zniesienia sądu, ośrodka zamiejscowego lub wydziału zamiejscowego - ławnicy tych jednostek stają się ławnikami sądów, które przejmują kompetencje zniesionych jednostek.</w:t>
      </w:r>
    </w:p>
    <w:p w:rsidR="008779D3" w:rsidRDefault="00AC237A">
      <w:pPr>
        <w:spacing w:before="80" w:after="0"/>
      </w:pPr>
      <w:r>
        <w:rPr>
          <w:b/>
          <w:color w:val="000000"/>
        </w:rPr>
        <w:t xml:space="preserve">Art. 168.  [Uzupełnienie listy ławników] </w:t>
      </w:r>
    </w:p>
    <w:p w:rsidR="008779D3" w:rsidRDefault="00AC237A">
      <w:pPr>
        <w:spacing w:after="0"/>
      </w:pPr>
      <w:r>
        <w:rPr>
          <w:color w:val="000000"/>
        </w:rPr>
        <w:t>W razie potrzeby, zwłaszcza z powodu zmniejszenia się w czasie kadencji liczby ławników, rada gminy na wniosek prezesa sądu okręgowego dokonuje uzupełnienia listy, wybierając nowych ławników w sposób określony w ustawie.</w:t>
      </w:r>
    </w:p>
    <w:p w:rsidR="008779D3" w:rsidRDefault="00AC237A">
      <w:pPr>
        <w:spacing w:before="80" w:after="0"/>
      </w:pPr>
      <w:r>
        <w:rPr>
          <w:b/>
          <w:color w:val="000000"/>
        </w:rPr>
        <w:t xml:space="preserve">Art. 169.  [Niezawisłość ławników] </w:t>
      </w:r>
    </w:p>
    <w:p w:rsidR="008779D3" w:rsidRDefault="00AC237A">
      <w:pPr>
        <w:spacing w:after="0"/>
      </w:pPr>
      <w:r>
        <w:rPr>
          <w:b/>
          <w:color w:val="000000"/>
        </w:rPr>
        <w:t xml:space="preserve">§ 1. </w:t>
      </w:r>
      <w:r>
        <w:rPr>
          <w:color w:val="000000"/>
        </w:rPr>
        <w:t xml:space="preserve">W zakresie orzekania ławnicy są niezawiśli i podlegają tylko </w:t>
      </w:r>
      <w:r>
        <w:rPr>
          <w:color w:val="1B1B1B"/>
        </w:rPr>
        <w:t>Konstytucji</w:t>
      </w:r>
      <w:r>
        <w:rPr>
          <w:color w:val="000000"/>
        </w:rPr>
        <w:t xml:space="preserve"> oraz ustawom.</w:t>
      </w:r>
    </w:p>
    <w:p w:rsidR="008779D3" w:rsidRDefault="00AC237A">
      <w:pPr>
        <w:spacing w:before="26" w:after="0"/>
      </w:pPr>
      <w:r>
        <w:rPr>
          <w:b/>
          <w:color w:val="000000"/>
        </w:rPr>
        <w:t xml:space="preserve">§ 2. </w:t>
      </w:r>
      <w:r>
        <w:rPr>
          <w:color w:val="000000"/>
        </w:rPr>
        <w:t>Ławnik nie może przewodniczyć na rozprawie i naradzie ani też wykonywać czynności sędziego poza rozprawą, chyba że ustawy stanowią inaczej.</w:t>
      </w:r>
    </w:p>
    <w:p w:rsidR="008779D3" w:rsidRDefault="00AC237A">
      <w:pPr>
        <w:spacing w:before="26" w:after="0"/>
      </w:pPr>
      <w:r>
        <w:rPr>
          <w:b/>
          <w:color w:val="000000"/>
        </w:rPr>
        <w:t xml:space="preserve">§ 3. </w:t>
      </w:r>
      <w:r>
        <w:rPr>
          <w:color w:val="000000"/>
        </w:rPr>
        <w:t>Do ławników przepis art. 85 § 4 stosuje się odpowiednio.</w:t>
      </w:r>
    </w:p>
    <w:p w:rsidR="008779D3" w:rsidRDefault="00AC237A">
      <w:pPr>
        <w:spacing w:before="80" w:after="0"/>
      </w:pPr>
      <w:r>
        <w:rPr>
          <w:b/>
          <w:color w:val="000000"/>
        </w:rPr>
        <w:t xml:space="preserve">Art. 170.  [Wyznaczenie ławnika do udziału w rozprawie] </w:t>
      </w:r>
    </w:p>
    <w:p w:rsidR="008779D3" w:rsidRDefault="00AC237A">
      <w:pPr>
        <w:spacing w:after="0"/>
      </w:pPr>
      <w:r>
        <w:rPr>
          <w:b/>
          <w:color w:val="000000"/>
        </w:rPr>
        <w:t xml:space="preserve">§ 1. </w:t>
      </w:r>
      <w:r>
        <w:rPr>
          <w:color w:val="000000"/>
        </w:rPr>
        <w:t>Ławnik może zostać wyznaczony do udziału w rozprawach do dwunastu dni w ciągu roku. Liczba tych dni może być zwiększona przez prezesa sądu tylko z ważnych przyczyn, a zwłaszcza w przypadku konieczności zakończenia rozprawy z udziałem tego ławnika.</w:t>
      </w:r>
    </w:p>
    <w:p w:rsidR="008779D3" w:rsidRDefault="00AC237A">
      <w:pPr>
        <w:spacing w:before="26" w:after="0"/>
      </w:pPr>
      <w:r>
        <w:rPr>
          <w:b/>
          <w:color w:val="000000"/>
        </w:rPr>
        <w:t xml:space="preserve">§ 2. </w:t>
      </w:r>
      <w:r>
        <w:rPr>
          <w:color w:val="000000"/>
        </w:rPr>
        <w:t>(uchylony).</w:t>
      </w:r>
    </w:p>
    <w:p w:rsidR="008779D3" w:rsidRDefault="00AC237A">
      <w:pPr>
        <w:spacing w:before="26" w:after="0"/>
      </w:pPr>
      <w:r>
        <w:rPr>
          <w:b/>
          <w:color w:val="000000"/>
        </w:rPr>
        <w:t xml:space="preserve">§ 3. </w:t>
      </w:r>
      <w:r>
        <w:rPr>
          <w:color w:val="000000"/>
        </w:rPr>
        <w:t>Wyznaczając ławnika do udziału w rozprawie, zawiadamia się o tym jednocześnie pracodawcę zatrudniającego ławnika.</w:t>
      </w:r>
    </w:p>
    <w:p w:rsidR="008779D3" w:rsidRDefault="00AC237A">
      <w:pPr>
        <w:spacing w:before="80" w:after="0"/>
      </w:pPr>
      <w:r>
        <w:rPr>
          <w:b/>
          <w:color w:val="000000"/>
        </w:rPr>
        <w:t xml:space="preserve">Art. 171.  [Przydzielenie dodatkowego ławnika do sprawy] </w:t>
      </w:r>
    </w:p>
    <w:p w:rsidR="008779D3" w:rsidRDefault="00AC237A">
      <w:pPr>
        <w:spacing w:after="0"/>
      </w:pPr>
      <w:r>
        <w:rPr>
          <w:b/>
          <w:color w:val="000000"/>
        </w:rPr>
        <w:t xml:space="preserve">§ 1. </w:t>
      </w:r>
      <w:r>
        <w:rPr>
          <w:color w:val="000000"/>
        </w:rPr>
        <w:t>Prezes sądu może zarządzić przydzielenie dodatkowego ławnika do sprawy, jeżeli istnieje prawdopodobieństwo, że będzie ona trwać czas dłuższy. W razie potrzeby można przydzielić dwóch ławników dodatkowych wskazując kolejność, w której będą oni wstępować do udziału w naradzie i głosowaniu.</w:t>
      </w:r>
    </w:p>
    <w:p w:rsidR="008779D3" w:rsidRDefault="00AC237A">
      <w:pPr>
        <w:spacing w:before="26" w:after="0"/>
      </w:pPr>
      <w:r>
        <w:rPr>
          <w:b/>
          <w:color w:val="000000"/>
        </w:rPr>
        <w:lastRenderedPageBreak/>
        <w:t xml:space="preserve">§ 2. </w:t>
      </w:r>
      <w:r>
        <w:rPr>
          <w:color w:val="000000"/>
        </w:rPr>
        <w:t>Ławnik dodatkowy bierze udział w naradzie i głosowaniu, jeżeli jeden z ławników nie może uczestniczyć w składzie sądu.</w:t>
      </w:r>
    </w:p>
    <w:p w:rsidR="008779D3" w:rsidRDefault="00AC237A">
      <w:pPr>
        <w:spacing w:before="80" w:after="0"/>
      </w:pPr>
      <w:r>
        <w:rPr>
          <w:b/>
          <w:color w:val="000000"/>
        </w:rPr>
        <w:t xml:space="preserve">Art. 172.  [Obowiązki pracodawcy ławnika; rekompensata pieniężna; ryczałt na pokrycie kosztów dojazdu do sądu] </w:t>
      </w:r>
    </w:p>
    <w:p w:rsidR="008779D3" w:rsidRDefault="00AC237A">
      <w:pPr>
        <w:spacing w:after="0"/>
      </w:pPr>
      <w:r>
        <w:rPr>
          <w:b/>
          <w:color w:val="000000"/>
        </w:rPr>
        <w:t xml:space="preserve">§ 1. </w:t>
      </w:r>
      <w:r>
        <w:rPr>
          <w:color w:val="000000"/>
        </w:rPr>
        <w:t>Pracodawca zatrudniający ławnika jest obowiązany zwolnić go od pracy na czas wykonywania czynności w sądzie.</w:t>
      </w:r>
    </w:p>
    <w:p w:rsidR="008779D3" w:rsidRDefault="00AC237A">
      <w:pPr>
        <w:spacing w:before="26" w:after="0"/>
      </w:pPr>
      <w:r>
        <w:rPr>
          <w:b/>
          <w:color w:val="000000"/>
        </w:rPr>
        <w:t xml:space="preserve">§ 2. </w:t>
      </w:r>
      <w:r>
        <w:rPr>
          <w:color w:val="000000"/>
        </w:rPr>
        <w:t>Za czas zwolnienia od pracy ławnik zachowuje prawo do świadczeń wynikających ze stosunku pracy, z wyjątkiem prawa do wynagrodzenia.</w:t>
      </w:r>
    </w:p>
    <w:p w:rsidR="008779D3" w:rsidRDefault="00AC237A">
      <w:pPr>
        <w:spacing w:before="26" w:after="0"/>
      </w:pPr>
      <w:r>
        <w:rPr>
          <w:b/>
          <w:color w:val="000000"/>
        </w:rPr>
        <w:t xml:space="preserve">§ 3. </w:t>
      </w:r>
      <w:r>
        <w:rPr>
          <w:color w:val="000000"/>
        </w:rPr>
        <w:t>Ławnik otrzymuje rekompensatę pieniężną za czas wykonywania czynności w sądzie, którymi są: udział w rozprawie lub posiedzeniu, uczestnictwo w naradzie nad wyrokiem, sporządzenie uzasadnienia lub uczestnictwo w posiedzeniu rady ławniczej, jeżeli został do niej wybrany.</w:t>
      </w:r>
    </w:p>
    <w:p w:rsidR="008779D3" w:rsidRDefault="00AC237A">
      <w:pPr>
        <w:spacing w:before="26" w:after="0"/>
      </w:pPr>
      <w:r>
        <w:rPr>
          <w:b/>
          <w:color w:val="000000"/>
        </w:rPr>
        <w:t xml:space="preserve">§ 4. </w:t>
      </w:r>
      <w:r>
        <w:rPr>
          <w:color w:val="000000"/>
        </w:rPr>
        <w:t>Wysokość rekompensaty dla ławników biorących udział w rozpoznawaniu spraw w sądach powszechnych, za jeden dzień pełnienia obowiązków ławnika, wynosi 2,64% podstawy ustalenia wynagrodzenia zasadniczego sędziego, o której mowa w art. 91 § 1c.</w:t>
      </w:r>
    </w:p>
    <w:p w:rsidR="008779D3" w:rsidRDefault="00AC237A">
      <w:pPr>
        <w:spacing w:before="26" w:after="0"/>
      </w:pPr>
      <w:r>
        <w:rPr>
          <w:b/>
          <w:color w:val="000000"/>
        </w:rPr>
        <w:t xml:space="preserve">§ 4a. </w:t>
      </w:r>
      <w:r>
        <w:rPr>
          <w:color w:val="000000"/>
        </w:rPr>
        <w:t>Ławnikowi przysługuje ryczałt na pokrycie kosztów dojazdu do sądu w celu wykonywania czynności w sądzie środkami komunikacji miejscowej w wysokości 0,25% podstawy ustalenia wynagrodzenia zasadniczego sędziego, o której mowa w art. 91 § 1c.</w:t>
      </w:r>
    </w:p>
    <w:p w:rsidR="008779D3" w:rsidRDefault="00AC237A">
      <w:pPr>
        <w:spacing w:before="26" w:after="0"/>
      </w:pPr>
      <w:r>
        <w:rPr>
          <w:b/>
          <w:color w:val="000000"/>
        </w:rPr>
        <w:t xml:space="preserve">§ 5. </w:t>
      </w:r>
      <w:r>
        <w:rPr>
          <w:color w:val="000000"/>
        </w:rPr>
        <w:t>(uchylony).</w:t>
      </w:r>
    </w:p>
    <w:p w:rsidR="008779D3" w:rsidRDefault="00AC237A">
      <w:pPr>
        <w:spacing w:before="26" w:after="0"/>
      </w:pPr>
      <w:r>
        <w:rPr>
          <w:b/>
          <w:color w:val="000000"/>
        </w:rPr>
        <w:t xml:space="preserve">§ 6. </w:t>
      </w:r>
      <w:r>
        <w:rPr>
          <w:color w:val="000000"/>
        </w:rPr>
        <w:t>Koszty wypłaty świadczeń, o których mowa w § 4 i 4a, ponosi Skarb Państwa.</w:t>
      </w:r>
    </w:p>
    <w:p w:rsidR="008779D3" w:rsidRDefault="00AC237A">
      <w:pPr>
        <w:spacing w:before="80" w:after="0"/>
      </w:pPr>
      <w:r>
        <w:rPr>
          <w:b/>
          <w:color w:val="000000"/>
        </w:rPr>
        <w:t xml:space="preserve">Art. 173.  [Diety i zwrot kosztów przejazdu i noclegu ławników] </w:t>
      </w:r>
    </w:p>
    <w:p w:rsidR="008779D3" w:rsidRDefault="00AC237A">
      <w:pPr>
        <w:spacing w:after="0"/>
      </w:pPr>
      <w:r>
        <w:rPr>
          <w:color w:val="000000"/>
        </w:rPr>
        <w:t>Ławnicy zamieszkali poza siedzibą sądu otrzymują diety oraz zwrot kosztów przejazdu i noclegu według zasad ustalonych w tym zakresie dla sędziów.</w:t>
      </w:r>
    </w:p>
    <w:p w:rsidR="008779D3" w:rsidRDefault="00AC237A">
      <w:pPr>
        <w:spacing w:before="80" w:after="0"/>
      </w:pPr>
      <w:r>
        <w:rPr>
          <w:b/>
          <w:color w:val="000000"/>
        </w:rPr>
        <w:t xml:space="preserve">Art. 174.  [Przyznanie należności ławnikom] </w:t>
      </w:r>
    </w:p>
    <w:p w:rsidR="008779D3" w:rsidRDefault="00AC237A">
      <w:pPr>
        <w:spacing w:after="0"/>
      </w:pPr>
      <w:r>
        <w:rPr>
          <w:b/>
          <w:color w:val="000000"/>
        </w:rPr>
        <w:t xml:space="preserve">§ 1. </w:t>
      </w:r>
      <w:r>
        <w:rPr>
          <w:color w:val="000000"/>
        </w:rPr>
        <w:t>Należności, o których mowa w art. 172 § 3 i art. 173, przyznaje prezes właściwego sądu.</w:t>
      </w:r>
    </w:p>
    <w:p w:rsidR="008779D3" w:rsidRDefault="00AC237A">
      <w:pPr>
        <w:spacing w:before="26" w:after="0"/>
      </w:pPr>
      <w:r>
        <w:rPr>
          <w:b/>
          <w:color w:val="000000"/>
        </w:rPr>
        <w:t xml:space="preserve">§ 2. </w:t>
      </w:r>
      <w:r>
        <w:rPr>
          <w:color w:val="000000"/>
        </w:rPr>
        <w:t>Od decyzji prezesa sądu rejonowego przysługuje odwołanie do prezesa sądu okręgowego, a gdy decyzję w pierwszej instancji wydał prezes sądu okręgowego lub prezes sądu apelacyjnego - do Ministra Sprawiedliwości.</w:t>
      </w:r>
    </w:p>
    <w:p w:rsidR="008779D3" w:rsidRDefault="00AC237A">
      <w:pPr>
        <w:spacing w:before="80" w:after="0"/>
      </w:pPr>
      <w:r>
        <w:rPr>
          <w:b/>
          <w:color w:val="000000"/>
        </w:rPr>
        <w:t xml:space="preserve">Art. 175.  [Rada ławnicza] </w:t>
      </w:r>
    </w:p>
    <w:p w:rsidR="008779D3" w:rsidRDefault="00AC237A">
      <w:pPr>
        <w:spacing w:after="0"/>
      </w:pPr>
      <w:r>
        <w:rPr>
          <w:b/>
          <w:color w:val="000000"/>
        </w:rPr>
        <w:t xml:space="preserve">§ 1. </w:t>
      </w:r>
      <w:r>
        <w:rPr>
          <w:color w:val="000000"/>
        </w:rPr>
        <w:t>Ławnicy każdego sądu wybierają ze swego grona radę ławniczą, jej przewodniczącego i zastępców.</w:t>
      </w:r>
    </w:p>
    <w:p w:rsidR="008779D3" w:rsidRDefault="00AC237A">
      <w:pPr>
        <w:spacing w:before="26" w:after="0"/>
      </w:pPr>
      <w:r>
        <w:rPr>
          <w:b/>
          <w:color w:val="000000"/>
        </w:rPr>
        <w:t xml:space="preserve">§ 2. </w:t>
      </w:r>
      <w:r>
        <w:rPr>
          <w:color w:val="000000"/>
        </w:rPr>
        <w:t>Do zadań rady ławniczej należy w szczególności podnoszenie poziomu pracy ławników i ich reprezentowanie oraz pobudzanie działalności wychowawczej ławników w społeczeństwie.</w:t>
      </w:r>
    </w:p>
    <w:p w:rsidR="008779D3" w:rsidRDefault="00AC237A">
      <w:pPr>
        <w:spacing w:before="26" w:after="0"/>
      </w:pPr>
      <w:r>
        <w:rPr>
          <w:b/>
          <w:color w:val="000000"/>
        </w:rPr>
        <w:t xml:space="preserve">§ 3. </w:t>
      </w:r>
      <w:r>
        <w:rPr>
          <w:color w:val="000000"/>
        </w:rPr>
        <w:t>Minister Sprawiedliwości określi, w drodze rozporządzenia, sposób wyboru, skład i strukturę organizacyjną, tryb działania oraz szczegółowe zadania rady ławniczej, uwzględniając obligatoryjny charakter rady ławniczej jako samorządu ławniczego, reprezentującego ławników w danym sądzie, zakres współpracy z prezesem sądu, potrzebę uwzględnienia w jej strukturze przewodniczącego i zastępców oraz określenia ich zadań.</w:t>
      </w:r>
    </w:p>
    <w:sectPr w:rsidR="008779D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6311"/>
    <w:multiLevelType w:val="multilevel"/>
    <w:tmpl w:val="7A26A26E"/>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779D3"/>
    <w:rsid w:val="00492273"/>
    <w:rsid w:val="008779D3"/>
    <w:rsid w:val="009365CB"/>
    <w:rsid w:val="00AC237A"/>
    <w:rsid w:val="00F80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F6CD3-2E23-469F-9A00-BD740700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2175</Words>
  <Characters>13054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Użytkownik systemu Windows</cp:lastModifiedBy>
  <cp:revision>2</cp:revision>
  <dcterms:created xsi:type="dcterms:W3CDTF">2019-06-10T07:09:00Z</dcterms:created>
  <dcterms:modified xsi:type="dcterms:W3CDTF">2019-06-10T07:09:00Z</dcterms:modified>
</cp:coreProperties>
</file>